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E03E8" w14:textId="4E6E9E18" w:rsidR="00497F85" w:rsidRPr="007147EE" w:rsidRDefault="007147EE" w:rsidP="007147EE">
      <w:pPr>
        <w:rPr>
          <w:rFonts w:ascii="Times New Roman" w:hAnsi="Times New Roman" w:cs="Times New Roman"/>
          <w:b/>
          <w:bCs/>
        </w:rPr>
      </w:pPr>
      <w:r w:rsidRPr="007147EE">
        <w:rPr>
          <w:rFonts w:ascii="Times New Roman" w:hAnsi="Times New Roman" w:cs="Times New Roman"/>
          <w:b/>
          <w:bCs/>
        </w:rPr>
        <w:t>Non-Parent Caregivers</w:t>
      </w:r>
    </w:p>
    <w:p w14:paraId="055C1709" w14:textId="3301E2CA" w:rsidR="007147EE" w:rsidRPr="007147EE" w:rsidRDefault="007147EE" w:rsidP="007147EE">
      <w:pPr>
        <w:rPr>
          <w:rFonts w:ascii="Times New Roman" w:hAnsi="Times New Roman" w:cs="Times New Roman"/>
        </w:rPr>
      </w:pPr>
      <w:r w:rsidRPr="007147EE">
        <w:rPr>
          <w:rFonts w:ascii="Times New Roman" w:hAnsi="Times New Roman" w:cs="Times New Roman"/>
        </w:rPr>
        <w:t xml:space="preserve">If you are caring for a child who is not living with their </w:t>
      </w:r>
      <w:proofErr w:type="gramStart"/>
      <w:r w:rsidRPr="007147EE">
        <w:rPr>
          <w:rFonts w:ascii="Times New Roman" w:hAnsi="Times New Roman" w:cs="Times New Roman"/>
        </w:rPr>
        <w:t>parent</w:t>
      </w:r>
      <w:proofErr w:type="gramEnd"/>
      <w:r w:rsidRPr="007147EE">
        <w:rPr>
          <w:rFonts w:ascii="Times New Roman" w:hAnsi="Times New Roman" w:cs="Times New Roman"/>
        </w:rPr>
        <w:t>, support may be available to help meet the child’s basic needs.</w:t>
      </w:r>
    </w:p>
    <w:p w14:paraId="59A52DEA" w14:textId="08D4C77B" w:rsidR="007147EE" w:rsidRPr="007147EE" w:rsidRDefault="007147EE" w:rsidP="007147EE">
      <w:pPr>
        <w:rPr>
          <w:rFonts w:ascii="Times New Roman" w:hAnsi="Times New Roman" w:cs="Times New Roman"/>
          <w:b/>
          <w:bCs/>
        </w:rPr>
      </w:pPr>
      <w:r w:rsidRPr="007147EE">
        <w:rPr>
          <w:rFonts w:ascii="Times New Roman" w:hAnsi="Times New Roman" w:cs="Times New Roman"/>
          <w:b/>
          <w:bCs/>
        </w:rPr>
        <w:t>Temporary Assistance for Children in Non-Parent Care</w:t>
      </w:r>
    </w:p>
    <w:p w14:paraId="157A77C6" w14:textId="780FC8FB" w:rsidR="007147EE" w:rsidRPr="007147EE" w:rsidRDefault="007147EE" w:rsidP="007147EE">
      <w:pPr>
        <w:rPr>
          <w:rFonts w:ascii="Times New Roman" w:hAnsi="Times New Roman" w:cs="Times New Roman"/>
        </w:rPr>
      </w:pPr>
      <w:r w:rsidRPr="007147EE">
        <w:rPr>
          <w:rFonts w:ascii="Times New Roman" w:hAnsi="Times New Roman" w:cs="Times New Roman"/>
        </w:rPr>
        <w:t>Non-parent caregivers- such as relatives or other trusted adults- may be eligible to apply for Temporary Assistance (TA) on behalf of the child(ren) in their care. This type of assistance is often referred to as a “child-only” or “non-parent caregiver” grant and may also include Medical Assistance (MA) for the child.</w:t>
      </w:r>
    </w:p>
    <w:p w14:paraId="38E4D4FE" w14:textId="778E2657" w:rsidR="007147EE" w:rsidRPr="007147EE" w:rsidRDefault="007147EE" w:rsidP="007147EE">
      <w:pPr>
        <w:rPr>
          <w:rFonts w:ascii="Times New Roman" w:hAnsi="Times New Roman" w:cs="Times New Roman"/>
        </w:rPr>
      </w:pPr>
      <w:r w:rsidRPr="007147EE">
        <w:rPr>
          <w:rFonts w:ascii="Times New Roman" w:hAnsi="Times New Roman" w:cs="Times New Roman"/>
        </w:rPr>
        <w:t>If you are applying only for the child, your own income is not counted when determining eligibility, and there are no Temporary Assistance work requirements for you as the caregiver. Applications can be submitted through your local social services office, where staff can walk you through the process and answer questions.</w:t>
      </w:r>
    </w:p>
    <w:p w14:paraId="71BA8476" w14:textId="746F5979" w:rsidR="007147EE" w:rsidRPr="007147EE" w:rsidRDefault="007147EE" w:rsidP="007147EE">
      <w:pPr>
        <w:rPr>
          <w:rFonts w:ascii="Times New Roman" w:hAnsi="Times New Roman" w:cs="Times New Roman"/>
          <w:b/>
          <w:bCs/>
        </w:rPr>
      </w:pPr>
      <w:r w:rsidRPr="007147EE">
        <w:rPr>
          <w:rFonts w:ascii="Times New Roman" w:hAnsi="Times New Roman" w:cs="Times New Roman"/>
          <w:b/>
          <w:bCs/>
        </w:rPr>
        <w:t>Additional Supports for Kinship and Non-Parent Caregivers</w:t>
      </w:r>
    </w:p>
    <w:p w14:paraId="178B1FF1" w14:textId="3C87E265" w:rsidR="007147EE" w:rsidRPr="007147EE" w:rsidRDefault="007147EE" w:rsidP="007147EE">
      <w:pPr>
        <w:rPr>
          <w:rFonts w:ascii="Times New Roman" w:hAnsi="Times New Roman" w:cs="Times New Roman"/>
        </w:rPr>
      </w:pPr>
      <w:r w:rsidRPr="007147EE">
        <w:rPr>
          <w:rFonts w:ascii="Times New Roman" w:hAnsi="Times New Roman" w:cs="Times New Roman"/>
        </w:rPr>
        <w:t>Caring for a child can come with many responsibilities, and support goes beyond financial assistance. Non-parent caregivers may also benefit from information, referrals, and services related to:</w:t>
      </w:r>
    </w:p>
    <w:p w14:paraId="0FFC6B13" w14:textId="3503170E"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Food assistance (SNAP)</w:t>
      </w:r>
    </w:p>
    <w:p w14:paraId="37FDCE41" w14:textId="6F1A643A"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Home Energy Assistance Program (HEAP)</w:t>
      </w:r>
    </w:p>
    <w:p w14:paraId="7DF35E5D" w14:textId="66331590"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Custody or guardianship resources</w:t>
      </w:r>
    </w:p>
    <w:p w14:paraId="35E655EA" w14:textId="7E620FA9"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Foster care or adoption information</w:t>
      </w:r>
    </w:p>
    <w:p w14:paraId="78F9F2C2" w14:textId="1BBB9CBC"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School enrollment and educational supports</w:t>
      </w:r>
    </w:p>
    <w:p w14:paraId="3A7C6FBA" w14:textId="76157049" w:rsidR="007147EE" w:rsidRPr="007147EE" w:rsidRDefault="007147EE" w:rsidP="007147EE">
      <w:pPr>
        <w:pStyle w:val="ListParagraph"/>
        <w:numPr>
          <w:ilvl w:val="0"/>
          <w:numId w:val="6"/>
        </w:numPr>
        <w:rPr>
          <w:rFonts w:ascii="Times New Roman" w:hAnsi="Times New Roman" w:cs="Times New Roman"/>
        </w:rPr>
      </w:pPr>
      <w:proofErr w:type="gramStart"/>
      <w:r w:rsidRPr="007147EE">
        <w:rPr>
          <w:rFonts w:ascii="Times New Roman" w:hAnsi="Times New Roman" w:cs="Times New Roman"/>
        </w:rPr>
        <w:t>Child care</w:t>
      </w:r>
      <w:proofErr w:type="gramEnd"/>
      <w:r w:rsidRPr="007147EE">
        <w:rPr>
          <w:rFonts w:ascii="Times New Roman" w:hAnsi="Times New Roman" w:cs="Times New Roman"/>
        </w:rPr>
        <w:t xml:space="preserve"> assistance</w:t>
      </w:r>
    </w:p>
    <w:p w14:paraId="17791391" w14:textId="6EF7E9DD"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Social Security benefits</w:t>
      </w:r>
    </w:p>
    <w:p w14:paraId="5216631F" w14:textId="0FBF9F3B"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Respite services</w:t>
      </w:r>
    </w:p>
    <w:p w14:paraId="1A47817A" w14:textId="431ADA9F" w:rsidR="007147EE" w:rsidRPr="007147EE" w:rsidRDefault="007147EE" w:rsidP="007147EE">
      <w:pPr>
        <w:pStyle w:val="ListParagraph"/>
        <w:numPr>
          <w:ilvl w:val="0"/>
          <w:numId w:val="6"/>
        </w:numPr>
        <w:rPr>
          <w:rFonts w:ascii="Times New Roman" w:hAnsi="Times New Roman" w:cs="Times New Roman"/>
        </w:rPr>
      </w:pPr>
      <w:r w:rsidRPr="007147EE">
        <w:rPr>
          <w:rFonts w:ascii="Times New Roman" w:hAnsi="Times New Roman" w:cs="Times New Roman"/>
        </w:rPr>
        <w:t xml:space="preserve">Case management and </w:t>
      </w:r>
      <w:proofErr w:type="gramStart"/>
      <w:r w:rsidRPr="007147EE">
        <w:rPr>
          <w:rFonts w:ascii="Times New Roman" w:hAnsi="Times New Roman" w:cs="Times New Roman"/>
        </w:rPr>
        <w:t>community based</w:t>
      </w:r>
      <w:proofErr w:type="gramEnd"/>
      <w:r w:rsidRPr="007147EE">
        <w:rPr>
          <w:rFonts w:ascii="Times New Roman" w:hAnsi="Times New Roman" w:cs="Times New Roman"/>
        </w:rPr>
        <w:t xml:space="preserve"> programs</w:t>
      </w:r>
    </w:p>
    <w:p w14:paraId="103A9EFE" w14:textId="425920E6" w:rsidR="007147EE" w:rsidRPr="007147EE" w:rsidRDefault="007147EE" w:rsidP="007147EE">
      <w:pPr>
        <w:rPr>
          <w:rFonts w:ascii="Times New Roman" w:hAnsi="Times New Roman" w:cs="Times New Roman"/>
        </w:rPr>
      </w:pPr>
      <w:r w:rsidRPr="007147EE">
        <w:rPr>
          <w:rFonts w:ascii="Times New Roman" w:hAnsi="Times New Roman" w:cs="Times New Roman"/>
        </w:rPr>
        <w:t xml:space="preserve">These supports are intended to </w:t>
      </w:r>
      <w:proofErr w:type="gramStart"/>
      <w:r w:rsidRPr="007147EE">
        <w:rPr>
          <w:rFonts w:ascii="Times New Roman" w:hAnsi="Times New Roman" w:cs="Times New Roman"/>
        </w:rPr>
        <w:t>help  you</w:t>
      </w:r>
      <w:proofErr w:type="gramEnd"/>
      <w:r w:rsidRPr="007147EE">
        <w:rPr>
          <w:rFonts w:ascii="Times New Roman" w:hAnsi="Times New Roman" w:cs="Times New Roman"/>
        </w:rPr>
        <w:t xml:space="preserve"> maintain stability for the child and for your household.</w:t>
      </w:r>
    </w:p>
    <w:p w14:paraId="46203F09" w14:textId="6AED0006" w:rsidR="007147EE" w:rsidRPr="007147EE" w:rsidRDefault="007147EE" w:rsidP="007147EE">
      <w:pPr>
        <w:rPr>
          <w:rFonts w:ascii="Times New Roman" w:hAnsi="Times New Roman" w:cs="Times New Roman"/>
          <w:b/>
          <w:bCs/>
        </w:rPr>
      </w:pPr>
      <w:r w:rsidRPr="007147EE">
        <w:rPr>
          <w:rFonts w:ascii="Times New Roman" w:hAnsi="Times New Roman" w:cs="Times New Roman"/>
          <w:b/>
          <w:bCs/>
        </w:rPr>
        <w:t>Helpful Resources</w:t>
      </w:r>
    </w:p>
    <w:p w14:paraId="69AF2E62" w14:textId="5360E7FE" w:rsidR="007147EE" w:rsidRPr="007147EE" w:rsidRDefault="007147EE" w:rsidP="007147EE">
      <w:pPr>
        <w:rPr>
          <w:rFonts w:ascii="Times New Roman" w:hAnsi="Times New Roman" w:cs="Times New Roman"/>
        </w:rPr>
      </w:pPr>
      <w:r w:rsidRPr="007147EE">
        <w:rPr>
          <w:rFonts w:ascii="Times New Roman" w:hAnsi="Times New Roman" w:cs="Times New Roman"/>
        </w:rPr>
        <w:t>You are not expected to navigate these systems alone. The following resources are available to provide guidance, information, and support:</w:t>
      </w:r>
    </w:p>
    <w:p w14:paraId="0E2595EC" w14:textId="77777777" w:rsidR="007147EE" w:rsidRPr="007147EE" w:rsidRDefault="007147EE" w:rsidP="007147EE">
      <w:pPr>
        <w:pStyle w:val="ListParagraph"/>
        <w:numPr>
          <w:ilvl w:val="0"/>
          <w:numId w:val="7"/>
        </w:numPr>
        <w:rPr>
          <w:rFonts w:ascii="Times New Roman" w:hAnsi="Times New Roman" w:cs="Times New Roman"/>
        </w:rPr>
      </w:pPr>
      <w:hyperlink r:id="rId5" w:tgtFrame="_blank" w:tooltip="The NYS Kinship Navigator’s (Opens New Tab)" w:history="1">
        <w:r w:rsidRPr="007147EE">
          <w:rPr>
            <w:rStyle w:val="Hyperlink"/>
            <w:rFonts w:ascii="Times New Roman" w:hAnsi="Times New Roman" w:cs="Times New Roman"/>
          </w:rPr>
          <w:t>The NYS Kinship Navigator’s</w:t>
        </w:r>
      </w:hyperlink>
      <w:r w:rsidRPr="007147EE">
        <w:rPr>
          <w:rFonts w:ascii="Times New Roman" w:hAnsi="Times New Roman" w:cs="Times New Roman"/>
        </w:rPr>
        <w:t> website offers legal fact sheets, state and local kinship resources, and other information. In addition, the Navigator operates a toll-free phone line at 1-877-454-6463. Kinship Specialists are available from 10:00 am to 4:00 pm Monday through Friday. A message may be left during non-business hours and calls will be returned when business hours resume.</w:t>
      </w:r>
    </w:p>
    <w:p w14:paraId="50358E21" w14:textId="77777777" w:rsidR="007147EE" w:rsidRPr="007147EE" w:rsidRDefault="007147EE" w:rsidP="007147EE">
      <w:pPr>
        <w:pStyle w:val="ListParagraph"/>
        <w:numPr>
          <w:ilvl w:val="0"/>
          <w:numId w:val="7"/>
        </w:numPr>
        <w:rPr>
          <w:rFonts w:ascii="Times New Roman" w:hAnsi="Times New Roman" w:cs="Times New Roman"/>
          <w:color w:val="3A3A3A"/>
        </w:rPr>
      </w:pPr>
      <w:hyperlink r:id="rId6" w:tgtFrame="_blank" w:tooltip="MyBenefits (Opens New Tab)" w:history="1">
        <w:proofErr w:type="spellStart"/>
        <w:r w:rsidRPr="007147EE">
          <w:rPr>
            <w:rStyle w:val="Hyperlink"/>
            <w:rFonts w:ascii="Times New Roman" w:hAnsi="Times New Roman" w:cs="Times New Roman"/>
            <w:color w:val="4286B0"/>
            <w:bdr w:val="none" w:sz="0" w:space="0" w:color="auto" w:frame="1"/>
          </w:rPr>
          <w:t>MyBenefits</w:t>
        </w:r>
        <w:proofErr w:type="spellEnd"/>
      </w:hyperlink>
      <w:r w:rsidRPr="007147EE">
        <w:rPr>
          <w:rFonts w:ascii="Times New Roman" w:hAnsi="Times New Roman" w:cs="Times New Roman"/>
          <w:color w:val="3A3A3A"/>
        </w:rPr>
        <w:t> is an online tool to help you learn about eligibility for financial assistance and other benefit programs. A simple, 10-minute prescreening from any computer with internet access at any time, determine whether you are likely to qualify for Food Stamps, Heap, the Earned Income Tax Credit, child dependent care credits, school lunch, and other programs.</w:t>
      </w:r>
    </w:p>
    <w:p w14:paraId="430179C3" w14:textId="337BB4F5" w:rsidR="007147EE" w:rsidRPr="007147EE" w:rsidRDefault="007147EE" w:rsidP="007147EE">
      <w:pPr>
        <w:pStyle w:val="ListParagraph"/>
        <w:numPr>
          <w:ilvl w:val="0"/>
          <w:numId w:val="7"/>
        </w:numPr>
        <w:rPr>
          <w:rFonts w:ascii="Times New Roman" w:hAnsi="Times New Roman" w:cs="Times New Roman"/>
          <w:color w:val="3A3A3A"/>
        </w:rPr>
      </w:pPr>
      <w:hyperlink r:id="rId7" w:tgtFrame="_blank" w:tooltip="OCFS (Opens New Tab)" w:history="1">
        <w:r w:rsidRPr="007147EE">
          <w:rPr>
            <w:rStyle w:val="Hyperlink"/>
            <w:rFonts w:ascii="Times New Roman" w:hAnsi="Times New Roman" w:cs="Times New Roman"/>
            <w:color w:val="4286B0"/>
            <w:bdr w:val="none" w:sz="0" w:space="0" w:color="auto" w:frame="1"/>
          </w:rPr>
          <w:t>The NYS Office of Children and Family Services (OCFS)</w:t>
        </w:r>
      </w:hyperlink>
      <w:r w:rsidRPr="007147EE">
        <w:rPr>
          <w:rFonts w:ascii="Times New Roman" w:hAnsi="Times New Roman" w:cs="Times New Roman"/>
          <w:color w:val="3A3A3A"/>
        </w:rPr>
        <w:t> provides contact information and links to the Kinship Caregiver Programs funded through OCFS, as well as a variety of resources for families and staff, including the Kinship Guardianship Assistance Program (</w:t>
      </w:r>
      <w:proofErr w:type="spellStart"/>
      <w:r w:rsidRPr="007147EE">
        <w:rPr>
          <w:rFonts w:ascii="Times New Roman" w:hAnsi="Times New Roman" w:cs="Times New Roman"/>
          <w:color w:val="3A3A3A"/>
        </w:rPr>
        <w:t>KinGAP</w:t>
      </w:r>
      <w:proofErr w:type="spellEnd"/>
      <w:r w:rsidRPr="007147EE">
        <w:rPr>
          <w:rFonts w:ascii="Times New Roman" w:hAnsi="Times New Roman" w:cs="Times New Roman"/>
          <w:color w:val="3A3A3A"/>
        </w:rPr>
        <w:t>), a subsidy program available to kinship caregivers who are foster parents.</w:t>
      </w:r>
      <w:r w:rsidR="00FF1848">
        <w:rPr>
          <w:rFonts w:ascii="Times New Roman" w:hAnsi="Times New Roman" w:cs="Times New Roman"/>
          <w:color w:val="3A3A3A"/>
        </w:rPr>
        <w:t xml:space="preserve"> </w:t>
      </w:r>
      <w:hyperlink r:id="rId8" w:history="1">
        <w:r w:rsidR="00FF1848" w:rsidRPr="00C874ED">
          <w:rPr>
            <w:rStyle w:val="Hyperlink"/>
            <w:rFonts w:ascii="Times New Roman" w:hAnsi="Times New Roman" w:cs="Times New Roman"/>
          </w:rPr>
          <w:t>https://ocfs.ny.gov/programs/kinship/</w:t>
        </w:r>
      </w:hyperlink>
      <w:r w:rsidR="00FF1848">
        <w:rPr>
          <w:rFonts w:ascii="Times New Roman" w:hAnsi="Times New Roman" w:cs="Times New Roman"/>
          <w:color w:val="3A3A3A"/>
        </w:rPr>
        <w:t xml:space="preserve"> </w:t>
      </w:r>
    </w:p>
    <w:p w14:paraId="592D6BD8" w14:textId="77777777" w:rsidR="007147EE" w:rsidRDefault="007147EE" w:rsidP="007147EE">
      <w:pPr>
        <w:ind w:left="360"/>
      </w:pPr>
    </w:p>
    <w:p w14:paraId="56E99522" w14:textId="77777777" w:rsidR="00FF1848" w:rsidRDefault="00FF1848" w:rsidP="007147EE">
      <w:pPr>
        <w:ind w:left="360"/>
      </w:pPr>
    </w:p>
    <w:p w14:paraId="74E95C1C" w14:textId="15970984" w:rsidR="00FF1848" w:rsidRDefault="00FF1848" w:rsidP="007147EE">
      <w:pPr>
        <w:ind w:left="360"/>
      </w:pPr>
      <w:r>
        <w:t>Suggested edits to the Q&amp;A Section</w:t>
      </w:r>
      <w:r w:rsidR="00B542B5">
        <w:t xml:space="preserve"> (not all questions needed an adjustment so they do not align directly to the order in the Website)</w:t>
      </w:r>
      <w:r>
        <w:t>:</w:t>
      </w:r>
    </w:p>
    <w:p w14:paraId="786CADAF" w14:textId="71FB1AF3" w:rsidR="00FF1848" w:rsidRDefault="00FF1848" w:rsidP="00FF1848">
      <w:pPr>
        <w:pStyle w:val="ListParagraph"/>
        <w:numPr>
          <w:ilvl w:val="0"/>
          <w:numId w:val="8"/>
        </w:numPr>
      </w:pPr>
      <w:r>
        <w:t>What should I do if I can’t reach my worker?</w:t>
      </w:r>
    </w:p>
    <w:p w14:paraId="16D7DBA4" w14:textId="7AA33317" w:rsidR="00FF1848" w:rsidRDefault="00FF1848" w:rsidP="00FF1848">
      <w:pPr>
        <w:pStyle w:val="ListParagraph"/>
        <w:numPr>
          <w:ilvl w:val="1"/>
          <w:numId w:val="8"/>
        </w:numPr>
      </w:pPr>
      <w:r>
        <w:t>Suggested edit: We aim to return calls within one business day. If you have not heard back after one business day, you may contact your worker’s supervisor or visit our office for assistance.</w:t>
      </w:r>
    </w:p>
    <w:p w14:paraId="2A3E0DD0" w14:textId="095CD299" w:rsidR="00FF1848" w:rsidRDefault="00FF1848" w:rsidP="00FF1848">
      <w:pPr>
        <w:pStyle w:val="ListParagraph"/>
        <w:numPr>
          <w:ilvl w:val="0"/>
          <w:numId w:val="8"/>
        </w:numPr>
      </w:pPr>
      <w:r>
        <w:t>After the landlord completes the Landlord’s Form, how long will it take for the tenant to receive assistance?</w:t>
      </w:r>
    </w:p>
    <w:p w14:paraId="5078289F" w14:textId="5217A978" w:rsidR="00FF1848" w:rsidRDefault="00FF1848" w:rsidP="00FF1848">
      <w:pPr>
        <w:pStyle w:val="ListParagraph"/>
        <w:numPr>
          <w:ilvl w:val="1"/>
          <w:numId w:val="8"/>
        </w:numPr>
      </w:pPr>
      <w:r>
        <w:t xml:space="preserve">Suggested edit: DSS must </w:t>
      </w:r>
      <w:proofErr w:type="gramStart"/>
      <w:r>
        <w:t>make a decision</w:t>
      </w:r>
      <w:proofErr w:type="gramEnd"/>
      <w:r>
        <w:t xml:space="preserve"> within 30 </w:t>
      </w:r>
      <w:proofErr w:type="gramStart"/>
      <w:r>
        <w:t>days  from</w:t>
      </w:r>
      <w:proofErr w:type="gramEnd"/>
      <w:r>
        <w:t xml:space="preserve"> the application date. Processing may take longer if an interview is missed or additional documents/verification are needed.</w:t>
      </w:r>
    </w:p>
    <w:p w14:paraId="102FD8FE" w14:textId="3549894B" w:rsidR="00FF1848" w:rsidRDefault="00FF1848" w:rsidP="00FF1848">
      <w:pPr>
        <w:pStyle w:val="ListParagraph"/>
        <w:numPr>
          <w:ilvl w:val="0"/>
          <w:numId w:val="8"/>
        </w:numPr>
      </w:pPr>
      <w:r>
        <w:t>What should a landlord do if a tenant never moves in?</w:t>
      </w:r>
    </w:p>
    <w:p w14:paraId="59FD1920" w14:textId="4B404DAD" w:rsidR="00FF1848" w:rsidRDefault="00FF1848" w:rsidP="00FF1848">
      <w:pPr>
        <w:pStyle w:val="ListParagraph"/>
        <w:numPr>
          <w:ilvl w:val="1"/>
          <w:numId w:val="8"/>
        </w:numPr>
      </w:pPr>
      <w:r>
        <w:t xml:space="preserve">Suggested edit: If a tenant does not move in and you believe the address information provided to DSS may be incorrect, please contact our office so it can be reviewed. If you believe there may be intentional misrepresentation, you may report your concern to the Fraud Hotline at 858-1886 or submit it in writing to the address below. ECDSS- Temporary </w:t>
      </w:r>
      <w:proofErr w:type="gramStart"/>
      <w:r>
        <w:t>Assistance  95</w:t>
      </w:r>
      <w:proofErr w:type="gramEnd"/>
      <w:r>
        <w:t xml:space="preserve"> Franklin Street- Room 406, Buffalo NY 14202-3959</w:t>
      </w:r>
    </w:p>
    <w:p w14:paraId="390DEA98" w14:textId="3AEF5C53" w:rsidR="00FF1848" w:rsidRDefault="00FF1848" w:rsidP="00FF1848">
      <w:pPr>
        <w:pStyle w:val="ListParagraph"/>
        <w:numPr>
          <w:ilvl w:val="0"/>
          <w:numId w:val="8"/>
        </w:numPr>
      </w:pPr>
      <w:r>
        <w:t>Does the Department pay cash security deposits for clients?</w:t>
      </w:r>
    </w:p>
    <w:p w14:paraId="33F853D3" w14:textId="081CFA39" w:rsidR="00FF1848" w:rsidRDefault="00FF1848" w:rsidP="00FF1848">
      <w:pPr>
        <w:pStyle w:val="ListParagraph"/>
        <w:numPr>
          <w:ilvl w:val="1"/>
          <w:numId w:val="8"/>
        </w:numPr>
      </w:pPr>
      <w:r>
        <w:t>Suggested edit: DSS does not provide cash security deposits. Eligible applicants and recipients may be assisted through a Security Agreement under program rules.</w:t>
      </w:r>
    </w:p>
    <w:p w14:paraId="63D5BB49" w14:textId="358DD2B4" w:rsidR="00FF1848" w:rsidRDefault="00FF1848" w:rsidP="00FF1848">
      <w:pPr>
        <w:pStyle w:val="ListParagraph"/>
        <w:numPr>
          <w:ilvl w:val="0"/>
          <w:numId w:val="8"/>
        </w:numPr>
      </w:pPr>
      <w:r>
        <w:t>What happens if a tenant in receipt of TA has fallen behind in rent?</w:t>
      </w:r>
    </w:p>
    <w:p w14:paraId="4CAB5B7D" w14:textId="0B03AF28" w:rsidR="00FF1848" w:rsidRDefault="00FF1848" w:rsidP="00FF1848">
      <w:pPr>
        <w:pStyle w:val="ListParagraph"/>
        <w:numPr>
          <w:ilvl w:val="1"/>
          <w:numId w:val="8"/>
        </w:numPr>
      </w:pPr>
      <w:r>
        <w:lastRenderedPageBreak/>
        <w:t xml:space="preserve">Suggested edit: If rent is not paid on time for two or more consecutive months and this is documented in writing, DSS may require a protective (restricted) rent </w:t>
      </w:r>
      <w:proofErr w:type="gramStart"/>
      <w:r>
        <w:t>payment</w:t>
      </w:r>
      <w:proofErr w:type="gramEnd"/>
      <w:r>
        <w:t xml:space="preserve"> so the rent portion of the benefit is paid directly to the landlord. Protective payments are subject to State shelter limits and program rules. Note: If the tenant pays at least the State-set shelter allowance on time each month, DSS generally may not require a protective payment based solely on rent amount differences.</w:t>
      </w:r>
    </w:p>
    <w:p w14:paraId="00A03340" w14:textId="0ED60F19" w:rsidR="00FF1848" w:rsidRDefault="00FF1848" w:rsidP="00FF1848">
      <w:pPr>
        <w:pStyle w:val="ListParagraph"/>
        <w:numPr>
          <w:ilvl w:val="0"/>
          <w:numId w:val="8"/>
        </w:numPr>
      </w:pPr>
      <w:r>
        <w:t>What should a landlord do if they observe inappropriate behavior or actions by a tenant who receives TA?</w:t>
      </w:r>
    </w:p>
    <w:p w14:paraId="425A430B" w14:textId="329EC205" w:rsidR="00FF1848" w:rsidRDefault="00FF1848" w:rsidP="00FF1848">
      <w:pPr>
        <w:pStyle w:val="ListParagraph"/>
        <w:numPr>
          <w:ilvl w:val="1"/>
          <w:numId w:val="8"/>
        </w:numPr>
      </w:pPr>
      <w:r>
        <w:t xml:space="preserve">Suggested edit: </w:t>
      </w:r>
      <w:r w:rsidRPr="00FF1848">
        <w:t>DSS generally cannot intervene in day-to-day landlord-tenant matters. If there is an immediate safety concern call 911; for suspected child abuse or neglect call the NYS Child Abuse Hotline at 1-800-342-3720.</w:t>
      </w:r>
    </w:p>
    <w:p w14:paraId="39622221" w14:textId="77777777" w:rsidR="007147EE" w:rsidRDefault="007147EE" w:rsidP="007147EE">
      <w:pPr>
        <w:ind w:left="360"/>
      </w:pPr>
    </w:p>
    <w:sectPr w:rsidR="00714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0F8"/>
    <w:multiLevelType w:val="hybridMultilevel"/>
    <w:tmpl w:val="327C0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B7975"/>
    <w:multiLevelType w:val="hybridMultilevel"/>
    <w:tmpl w:val="9AD8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559AB"/>
    <w:multiLevelType w:val="hybridMultilevel"/>
    <w:tmpl w:val="72B2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3EB7"/>
    <w:multiLevelType w:val="multilevel"/>
    <w:tmpl w:val="8618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7377D"/>
    <w:multiLevelType w:val="multilevel"/>
    <w:tmpl w:val="D3FC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70E1F"/>
    <w:multiLevelType w:val="multilevel"/>
    <w:tmpl w:val="E48E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4212C3"/>
    <w:multiLevelType w:val="hybridMultilevel"/>
    <w:tmpl w:val="C804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98575D"/>
    <w:multiLevelType w:val="hybridMultilevel"/>
    <w:tmpl w:val="F53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104844">
    <w:abstractNumId w:val="6"/>
  </w:num>
  <w:num w:numId="2" w16cid:durableId="1295402282">
    <w:abstractNumId w:val="2"/>
  </w:num>
  <w:num w:numId="3" w16cid:durableId="1483545093">
    <w:abstractNumId w:val="4"/>
  </w:num>
  <w:num w:numId="4" w16cid:durableId="1881357955">
    <w:abstractNumId w:val="3"/>
  </w:num>
  <w:num w:numId="5" w16cid:durableId="1500653060">
    <w:abstractNumId w:val="5"/>
  </w:num>
  <w:num w:numId="6" w16cid:durableId="190073887">
    <w:abstractNumId w:val="1"/>
  </w:num>
  <w:num w:numId="7" w16cid:durableId="1843280292">
    <w:abstractNumId w:val="7"/>
  </w:num>
  <w:num w:numId="8" w16cid:durableId="501816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EE"/>
    <w:rsid w:val="0022163E"/>
    <w:rsid w:val="00222CAF"/>
    <w:rsid w:val="00497F85"/>
    <w:rsid w:val="005D40EB"/>
    <w:rsid w:val="007147EE"/>
    <w:rsid w:val="00B542B5"/>
    <w:rsid w:val="00B96074"/>
    <w:rsid w:val="00D60A10"/>
    <w:rsid w:val="00E55ECE"/>
    <w:rsid w:val="00FF1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9FF3"/>
  <w15:chartTrackingRefBased/>
  <w15:docId w15:val="{9C3E31F5-BA78-44FA-BFF6-18A36146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7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7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7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7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7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7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47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7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7EE"/>
    <w:rPr>
      <w:rFonts w:eastAsiaTheme="majorEastAsia" w:cstheme="majorBidi"/>
      <w:color w:val="272727" w:themeColor="text1" w:themeTint="D8"/>
    </w:rPr>
  </w:style>
  <w:style w:type="paragraph" w:styleId="Title">
    <w:name w:val="Title"/>
    <w:basedOn w:val="Normal"/>
    <w:next w:val="Normal"/>
    <w:link w:val="TitleChar"/>
    <w:uiPriority w:val="10"/>
    <w:qFormat/>
    <w:rsid w:val="00714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7EE"/>
    <w:pPr>
      <w:spacing w:before="160"/>
      <w:jc w:val="center"/>
    </w:pPr>
    <w:rPr>
      <w:i/>
      <w:iCs/>
      <w:color w:val="404040" w:themeColor="text1" w:themeTint="BF"/>
    </w:rPr>
  </w:style>
  <w:style w:type="character" w:customStyle="1" w:styleId="QuoteChar">
    <w:name w:val="Quote Char"/>
    <w:basedOn w:val="DefaultParagraphFont"/>
    <w:link w:val="Quote"/>
    <w:uiPriority w:val="29"/>
    <w:rsid w:val="007147EE"/>
    <w:rPr>
      <w:i/>
      <w:iCs/>
      <w:color w:val="404040" w:themeColor="text1" w:themeTint="BF"/>
    </w:rPr>
  </w:style>
  <w:style w:type="paragraph" w:styleId="ListParagraph">
    <w:name w:val="List Paragraph"/>
    <w:basedOn w:val="Normal"/>
    <w:uiPriority w:val="34"/>
    <w:qFormat/>
    <w:rsid w:val="007147EE"/>
    <w:pPr>
      <w:ind w:left="720"/>
      <w:contextualSpacing/>
    </w:pPr>
  </w:style>
  <w:style w:type="character" w:styleId="IntenseEmphasis">
    <w:name w:val="Intense Emphasis"/>
    <w:basedOn w:val="DefaultParagraphFont"/>
    <w:uiPriority w:val="21"/>
    <w:qFormat/>
    <w:rsid w:val="007147EE"/>
    <w:rPr>
      <w:i/>
      <w:iCs/>
      <w:color w:val="0F4761" w:themeColor="accent1" w:themeShade="BF"/>
    </w:rPr>
  </w:style>
  <w:style w:type="paragraph" w:styleId="IntenseQuote">
    <w:name w:val="Intense Quote"/>
    <w:basedOn w:val="Normal"/>
    <w:next w:val="Normal"/>
    <w:link w:val="IntenseQuoteChar"/>
    <w:uiPriority w:val="30"/>
    <w:qFormat/>
    <w:rsid w:val="00714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7EE"/>
    <w:rPr>
      <w:i/>
      <w:iCs/>
      <w:color w:val="0F4761" w:themeColor="accent1" w:themeShade="BF"/>
    </w:rPr>
  </w:style>
  <w:style w:type="character" w:styleId="IntenseReference">
    <w:name w:val="Intense Reference"/>
    <w:basedOn w:val="DefaultParagraphFont"/>
    <w:uiPriority w:val="32"/>
    <w:qFormat/>
    <w:rsid w:val="007147EE"/>
    <w:rPr>
      <w:b/>
      <w:bCs/>
      <w:smallCaps/>
      <w:color w:val="0F4761" w:themeColor="accent1" w:themeShade="BF"/>
      <w:spacing w:val="5"/>
    </w:rPr>
  </w:style>
  <w:style w:type="character" w:styleId="Hyperlink">
    <w:name w:val="Hyperlink"/>
    <w:basedOn w:val="DefaultParagraphFont"/>
    <w:uiPriority w:val="99"/>
    <w:unhideWhenUsed/>
    <w:rsid w:val="007147EE"/>
    <w:rPr>
      <w:color w:val="467886" w:themeColor="hyperlink"/>
      <w:u w:val="single"/>
    </w:rPr>
  </w:style>
  <w:style w:type="character" w:styleId="UnresolvedMention">
    <w:name w:val="Unresolved Mention"/>
    <w:basedOn w:val="DefaultParagraphFont"/>
    <w:uiPriority w:val="99"/>
    <w:semiHidden/>
    <w:unhideWhenUsed/>
    <w:rsid w:val="007147EE"/>
    <w:rPr>
      <w:color w:val="605E5C"/>
      <w:shd w:val="clear" w:color="auto" w:fill="E1DFDD"/>
    </w:rPr>
  </w:style>
  <w:style w:type="character" w:styleId="FollowedHyperlink">
    <w:name w:val="FollowedHyperlink"/>
    <w:basedOn w:val="DefaultParagraphFont"/>
    <w:uiPriority w:val="99"/>
    <w:semiHidden/>
    <w:unhideWhenUsed/>
    <w:rsid w:val="00FF184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fs.ny.gov/programs/kinship/" TargetMode="External"/><Relationship Id="rId3" Type="http://schemas.openxmlformats.org/officeDocument/2006/relationships/settings" Target="settings.xml"/><Relationship Id="rId7" Type="http://schemas.openxmlformats.org/officeDocument/2006/relationships/hyperlink" Target="https://ocfs.ny.gov/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enefits.ny.gov/" TargetMode="External"/><Relationship Id="rId5" Type="http://schemas.openxmlformats.org/officeDocument/2006/relationships/hyperlink" Target="http://www.nysnavigator.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4546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Virginia</dc:creator>
  <cp:keywords/>
  <dc:description/>
  <cp:lastModifiedBy>Dlugosz, Steven</cp:lastModifiedBy>
  <cp:revision>2</cp:revision>
  <dcterms:created xsi:type="dcterms:W3CDTF">2026-01-16T17:42:00Z</dcterms:created>
  <dcterms:modified xsi:type="dcterms:W3CDTF">2026-01-16T17:42:00Z</dcterms:modified>
</cp:coreProperties>
</file>